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9BD1" w14:textId="236CBF8F" w:rsidR="009E06BB" w:rsidRPr="00C51559" w:rsidRDefault="00C50EE1" w:rsidP="00B443C7">
      <w:pPr>
        <w:spacing w:before="720" w:after="0" w:line="288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UNA SANITÀ A MISURA DI COMUNITÀ</w:t>
      </w:r>
    </w:p>
    <w:p w14:paraId="69A50E95" w14:textId="31ABC39C" w:rsidR="00A52E7E" w:rsidRDefault="00C50EE1" w:rsidP="00B443C7">
      <w:pPr>
        <w:spacing w:before="120" w:after="0" w:line="288" w:lineRule="auto"/>
        <w:ind w:left="0" w:right="0" w:firstLine="0"/>
        <w:jc w:val="center"/>
        <w:rPr>
          <w:sz w:val="28"/>
          <w:szCs w:val="28"/>
        </w:rPr>
      </w:pPr>
      <w:r w:rsidRPr="00C51559">
        <w:rPr>
          <w:sz w:val="28"/>
          <w:szCs w:val="28"/>
        </w:rPr>
        <w:t>Partecipazione civica e sviluppo dell’assistenza territoriale</w:t>
      </w:r>
    </w:p>
    <w:p w14:paraId="6FB7F915" w14:textId="2249432C" w:rsidR="00B01A9C" w:rsidRPr="00B01A9C" w:rsidRDefault="00B01A9C" w:rsidP="00B01A9C">
      <w:pPr>
        <w:spacing w:before="120" w:after="0" w:line="288" w:lineRule="auto"/>
        <w:ind w:left="0" w:right="0" w:firstLine="709"/>
        <w:jc w:val="left"/>
        <w:rPr>
          <w:b/>
          <w:sz w:val="28"/>
          <w:szCs w:val="28"/>
        </w:rPr>
      </w:pPr>
      <w:r>
        <w:rPr>
          <w:b/>
        </w:rPr>
        <w:t xml:space="preserve">      </w:t>
      </w:r>
      <w:r w:rsidRPr="00B01A9C">
        <w:rPr>
          <w:b/>
        </w:rPr>
        <w:t xml:space="preserve">13 ottobre 2022, Sala convegni “Il Centro in centro”, Via B. </w:t>
      </w:r>
      <w:proofErr w:type="spellStart"/>
      <w:r w:rsidRPr="00B01A9C">
        <w:rPr>
          <w:b/>
        </w:rPr>
        <w:t>Galliari</w:t>
      </w:r>
      <w:proofErr w:type="spellEnd"/>
      <w:r w:rsidRPr="00B01A9C">
        <w:rPr>
          <w:b/>
        </w:rPr>
        <w:t xml:space="preserve"> 10A</w:t>
      </w:r>
    </w:p>
    <w:p w14:paraId="5A19835E" w14:textId="42F297D7" w:rsidR="009E06BB" w:rsidRDefault="00C50EE1" w:rsidP="00B443C7">
      <w:pPr>
        <w:pStyle w:val="Titolo1"/>
        <w:spacing w:before="120" w:after="0" w:line="288" w:lineRule="auto"/>
        <w:ind w:left="0" w:firstLine="0"/>
      </w:pPr>
      <w:r>
        <w:t>R</w:t>
      </w:r>
      <w:r w:rsidR="00831182">
        <w:t>azionale</w:t>
      </w:r>
    </w:p>
    <w:p w14:paraId="1FD1990C" w14:textId="7FA79670" w:rsidR="009E06BB" w:rsidRDefault="00C50EE1" w:rsidP="00B443C7">
      <w:pPr>
        <w:spacing w:after="120" w:line="288" w:lineRule="auto"/>
        <w:ind w:left="0" w:right="23" w:firstLine="0"/>
      </w:pPr>
      <w:r>
        <w:t>La Rete internazionale degli Ospedali e dei Servizi Sanitari che promuovono la salute (Rete HPH) ha introdotto dal 2020 nuovi Standard per ospedali e servizi sanitari che promuovono la salute</w:t>
      </w:r>
    </w:p>
    <w:p w14:paraId="46E92A6A" w14:textId="65830802" w:rsidR="009E06BB" w:rsidRDefault="00C50EE1" w:rsidP="00B443C7">
      <w:pPr>
        <w:spacing w:before="120" w:after="120" w:line="288" w:lineRule="auto"/>
        <w:ind w:left="0" w:right="23" w:firstLine="0"/>
      </w:pPr>
      <w:r>
        <w:t xml:space="preserve">Tra i cinque standard, particolare interesse riveste lo Standard 3: </w:t>
      </w:r>
      <w:r w:rsidRPr="006605EB">
        <w:rPr>
          <w:i/>
          <w:iCs/>
        </w:rPr>
        <w:t>“Migliorare l’assistenza sanitaria centrata sulla persona e il coinvolgimento dei cittadini che afferiscono ai servizi”</w:t>
      </w:r>
      <w:r>
        <w:t xml:space="preserve">, con obiettivo: </w:t>
      </w:r>
      <w:r w:rsidRPr="006605EB">
        <w:rPr>
          <w:i/>
          <w:iCs/>
        </w:rPr>
        <w:t>“L’organizzazione cerca di offrire la migliore assistenza centrata sulla persona e i migliori esiti di salute e consente alle persone che usufruiscono del servizio di partecipare e contribuire alle proprie attività.”</w:t>
      </w:r>
    </w:p>
    <w:p w14:paraId="60190768" w14:textId="0DC82B3E" w:rsidR="009E06BB" w:rsidRDefault="00C50EE1" w:rsidP="00B443C7">
      <w:pPr>
        <w:spacing w:before="120" w:after="120" w:line="288" w:lineRule="auto"/>
        <w:ind w:left="0" w:right="23" w:firstLine="0"/>
      </w:pPr>
      <w:r>
        <w:t>Negli ultimi anni, la Rete HPH Piemonte ha dedicato una rilevante parte della propria attività alla collaborazione con Cittadinanzattiva su questi temi.</w:t>
      </w:r>
    </w:p>
    <w:p w14:paraId="3B3E0E41" w14:textId="7F285FC8" w:rsidR="009E06BB" w:rsidRDefault="00C50EE1" w:rsidP="00B443C7">
      <w:pPr>
        <w:spacing w:before="120" w:after="120" w:line="288" w:lineRule="auto"/>
        <w:ind w:left="0" w:right="23" w:firstLine="0"/>
      </w:pPr>
      <w:r>
        <w:t xml:space="preserve">In Piemonte, a partire dal 2014 le diverse edizioni della </w:t>
      </w:r>
      <w:r w:rsidRPr="008217B9">
        <w:t>Conferenza Sanità e Comunità locali</w:t>
      </w:r>
      <w:r>
        <w:t xml:space="preserve"> di Cittadinanzattiva sono sempre state un significativo luogo di confronto tra assessorato regionale, aziende sanitarie, professionisti medici, infermieri e farmacisti, esponenti degli enti locali, associazioni dei malati cronici e cittadinanza attiva. A partire dal 2018, è stata dedicata un’attenzione particolare, alla formazione e allo sviluppo del </w:t>
      </w:r>
      <w:r w:rsidRPr="008217B9">
        <w:t xml:space="preserve">Piano regionale delle cronicità. </w:t>
      </w:r>
      <w:r>
        <w:t>Il percorso ha messo in evidenza alcune criticità e, in particolare, che l’accesso ai servizi e ai percorsi esistenti è spesso reso problematico dalla difficoltà dei cittadini di richiedere e attivare i percorsi già esistenti. La VI</w:t>
      </w:r>
      <w:r w:rsidR="00D42DC8">
        <w:t xml:space="preserve"> </w:t>
      </w:r>
      <w:r>
        <w:t xml:space="preserve">Conferenza è stata dedicata alla possibilità di contribuire al superamento di questa situazione con un </w:t>
      </w:r>
      <w:r w:rsidRPr="008217B9">
        <w:t xml:space="preserve">Vademecum per i malati cronici, </w:t>
      </w:r>
      <w:r>
        <w:t>costruito in collaborazione fra Assessorato, Cittadinanzattiva e il Coordinamento delle associazioni dei malati cronici, ora in corso di pubblicazione.</w:t>
      </w:r>
    </w:p>
    <w:p w14:paraId="56B5958D" w14:textId="7D6ABDC9" w:rsidR="009E06BB" w:rsidRDefault="00C50EE1" w:rsidP="00B443C7">
      <w:pPr>
        <w:spacing w:before="120" w:after="120" w:line="288" w:lineRule="auto"/>
        <w:ind w:left="0" w:right="23" w:firstLine="0"/>
      </w:pPr>
      <w:r>
        <w:t>Tutte le edizioni della conferenza hanno avuto come argomento centrale lo sviluppo dei servizi territoriali sostenuto dalle comunità locali e da una partecipazione civica informata e consapevole. Il DM 77/2022 “</w:t>
      </w:r>
      <w:r w:rsidRPr="008217B9">
        <w:t>Modelli e standard per lo sviluppo dell’Assistenza Territoriale nel Servizio Sanitario Nazionale</w:t>
      </w:r>
      <w:r>
        <w:t>”, raccoglie questa istanza e prevede che il decreto sia: attuato con:</w:t>
      </w:r>
    </w:p>
    <w:p w14:paraId="0F371612" w14:textId="04586FFF" w:rsidR="009E06BB" w:rsidRPr="006605EB" w:rsidRDefault="00C50EE1" w:rsidP="00A319E0">
      <w:pPr>
        <w:pStyle w:val="Paragrafoelenco"/>
        <w:numPr>
          <w:ilvl w:val="0"/>
          <w:numId w:val="3"/>
        </w:numPr>
        <w:spacing w:before="120" w:after="0" w:line="288" w:lineRule="auto"/>
        <w:ind w:left="426" w:right="34" w:hanging="426"/>
        <w:rPr>
          <w:i/>
        </w:rPr>
      </w:pPr>
      <w:r w:rsidRPr="006605EB">
        <w:rPr>
          <w:i/>
        </w:rPr>
        <w:t>la valorizzazione della co-progettazione con gli utenti (punto 2 f)</w:t>
      </w:r>
    </w:p>
    <w:p w14:paraId="5548DF03" w14:textId="419292B0" w:rsidR="008217B9" w:rsidRPr="006605EB" w:rsidRDefault="008217B9" w:rsidP="00A319E0">
      <w:pPr>
        <w:pStyle w:val="Paragrafoelenco"/>
        <w:numPr>
          <w:ilvl w:val="0"/>
          <w:numId w:val="3"/>
        </w:numPr>
        <w:spacing w:before="120" w:after="0" w:line="288" w:lineRule="auto"/>
        <w:ind w:left="426" w:right="34" w:hanging="426"/>
        <w:rPr>
          <w:i/>
        </w:rPr>
      </w:pPr>
      <w:r w:rsidRPr="006605EB">
        <w:rPr>
          <w:i/>
        </w:rPr>
        <w:t>la valorizzazione della partecipazione di tutte le risorse della comunità nelle diverse forme e attraverso il coinvolgimento dei diversi attori locali (Aziende Sanitarie Locali, Comuni e loro Unioni, professionisti, pazienti e loro caregiver, associazioni/organizzazioni del Terzo Settore, ecc.)</w:t>
      </w:r>
    </w:p>
    <w:p w14:paraId="41C04E2F" w14:textId="0083FC2F" w:rsidR="009E06BB" w:rsidRDefault="00C50EE1" w:rsidP="00B443C7">
      <w:pPr>
        <w:spacing w:before="120" w:after="120" w:line="288" w:lineRule="auto"/>
        <w:ind w:left="0" w:right="23" w:firstLine="0"/>
      </w:pPr>
      <w:r>
        <w:lastRenderedPageBreak/>
        <w:t>ribadendo le indicazioni del</w:t>
      </w:r>
      <w:r w:rsidRPr="008217B9">
        <w:t>la Scheda 14 del</w:t>
      </w:r>
      <w:r>
        <w:t xml:space="preserve"> “</w:t>
      </w:r>
      <w:r w:rsidRPr="008217B9">
        <w:t>Patto per la salute 2019- 21</w:t>
      </w:r>
      <w:r>
        <w:t xml:space="preserve">” </w:t>
      </w:r>
      <w:r w:rsidRPr="008217B9">
        <w:t>“Strumenti di accesso partecipato e personalizzato del cittadino ai servizi sanitari”.</w:t>
      </w:r>
    </w:p>
    <w:p w14:paraId="098437B2" w14:textId="59BFF2AA" w:rsidR="009E06BB" w:rsidRDefault="00C50EE1" w:rsidP="00B443C7">
      <w:pPr>
        <w:spacing w:before="120" w:after="120" w:line="288" w:lineRule="auto"/>
        <w:ind w:left="0" w:right="23" w:firstLine="0"/>
      </w:pPr>
      <w:r>
        <w:t>La VII Conferenza Regionale “Sanità e comunità locali”, promossa da Cittadinanzattiva con le Rete HPH del Piemonte, sarà dedicata all’approfondimento dei nessi concreti esistenti fra sviluppo dei servizi territoriali e partecipazione civica e sarà articolata in tre sessioni.</w:t>
      </w:r>
    </w:p>
    <w:p w14:paraId="4CD5B973" w14:textId="19A1C747" w:rsidR="009E06BB" w:rsidRDefault="00C50EE1" w:rsidP="00B443C7">
      <w:pPr>
        <w:spacing w:before="120" w:after="120" w:line="288" w:lineRule="auto"/>
        <w:ind w:left="0" w:right="23" w:firstLine="0"/>
      </w:pPr>
      <w:r w:rsidRPr="0042455F">
        <w:t xml:space="preserve">La prima </w:t>
      </w:r>
      <w:r w:rsidR="0042455F" w:rsidRPr="0042455F">
        <w:t>sessione</w:t>
      </w:r>
      <w:r w:rsidR="0042455F">
        <w:t xml:space="preserve"> </w:t>
      </w:r>
      <w:r>
        <w:t>riguarderà la valutazione dello stato di avanzamento, nella regione Piemonte, di quattro azioni cruciali per il conseguimento degli obiettivi del DM 77 e precisamente:</w:t>
      </w:r>
    </w:p>
    <w:p w14:paraId="6BA7A894" w14:textId="6A010439" w:rsidR="00291998" w:rsidRDefault="00291998" w:rsidP="0042455F">
      <w:pPr>
        <w:pStyle w:val="Paragrafoelenco"/>
        <w:numPr>
          <w:ilvl w:val="0"/>
          <w:numId w:val="7"/>
        </w:numPr>
        <w:ind w:right="36"/>
      </w:pPr>
      <w:r>
        <w:t xml:space="preserve">Il ruolo dei Distretti per uno sviluppo della domiciliarità in rapporto con la cittadinanza e con le comunità locali; </w:t>
      </w:r>
    </w:p>
    <w:p w14:paraId="1A81F41C" w14:textId="00368F8E" w:rsidR="008735CB" w:rsidRDefault="008735CB" w:rsidP="0042455F">
      <w:pPr>
        <w:pStyle w:val="Paragrafoelenco"/>
        <w:numPr>
          <w:ilvl w:val="0"/>
          <w:numId w:val="7"/>
        </w:numPr>
        <w:spacing w:after="0" w:line="288" w:lineRule="auto"/>
        <w:ind w:right="23"/>
      </w:pPr>
      <w:r>
        <w:t>La concreta organizzazione delle Case della Comunità sostenuta dal confronto con le</w:t>
      </w:r>
      <w:r w:rsidR="0042455F">
        <w:t xml:space="preserve"> </w:t>
      </w:r>
      <w:r>
        <w:t>comunità, la cittadinanza e i professionisti del territorio;</w:t>
      </w:r>
    </w:p>
    <w:p w14:paraId="4822DD9F" w14:textId="77777777" w:rsidR="00291998" w:rsidRPr="00291998" w:rsidRDefault="00291998" w:rsidP="0042455F">
      <w:pPr>
        <w:pStyle w:val="Paragrafoelenco"/>
        <w:numPr>
          <w:ilvl w:val="0"/>
          <w:numId w:val="7"/>
        </w:numPr>
        <w:spacing w:after="0" w:line="288" w:lineRule="auto"/>
        <w:ind w:right="23"/>
      </w:pPr>
      <w:r>
        <w:t>Le assistenze domiciliari governate da Piani di assistenza individuali concordati con i malati e con i loro caregiver, liberati da carichi organizzativi e burocratici</w:t>
      </w:r>
      <w:r w:rsidRPr="0042455F">
        <w:rPr>
          <w:rFonts w:ascii="Calibri" w:eastAsia="Calibri" w:hAnsi="Calibri" w:cs="Calibri"/>
        </w:rPr>
        <w:t>;</w:t>
      </w:r>
    </w:p>
    <w:p w14:paraId="15B84E4B" w14:textId="628F3520" w:rsidR="00291998" w:rsidRPr="00736D11" w:rsidRDefault="00291998" w:rsidP="0042455F">
      <w:pPr>
        <w:pStyle w:val="Paragrafoelenco"/>
        <w:numPr>
          <w:ilvl w:val="0"/>
          <w:numId w:val="7"/>
        </w:numPr>
        <w:spacing w:after="0" w:line="288" w:lineRule="auto"/>
        <w:ind w:right="23"/>
      </w:pPr>
      <w:r>
        <w:t>Le centrali operative territoriali, come luoghi di promozione della domiciliarità da accompagnare con un’azione costante di monitoraggio in rapporto con la cittadinanza attiva e le comunità locali</w:t>
      </w:r>
    </w:p>
    <w:p w14:paraId="7D7881B1" w14:textId="71449DE0" w:rsidR="009E06BB" w:rsidRDefault="00C50EE1" w:rsidP="00B443C7">
      <w:pPr>
        <w:spacing w:before="120" w:after="120" w:line="288" w:lineRule="auto"/>
        <w:ind w:left="0" w:right="23" w:firstLine="0"/>
      </w:pPr>
      <w:r>
        <w:t xml:space="preserve">La seconda sessione prevede un confronto fra l’esperienza regionale e le politiche nazionali, con la presenza di esponenti del Ministero e di </w:t>
      </w:r>
      <w:proofErr w:type="spellStart"/>
      <w:r>
        <w:t>Agenas</w:t>
      </w:r>
      <w:proofErr w:type="spellEnd"/>
      <w:r w:rsidR="00300123">
        <w:t>.</w:t>
      </w:r>
    </w:p>
    <w:p w14:paraId="1314593E" w14:textId="0472C309" w:rsidR="009E06BB" w:rsidRDefault="00C50EE1" w:rsidP="00B443C7">
      <w:pPr>
        <w:spacing w:before="120" w:after="120" w:line="288" w:lineRule="auto"/>
        <w:ind w:left="0" w:right="23" w:firstLine="0"/>
      </w:pPr>
      <w:r>
        <w:t>La terza sessione comprenderà una panoramica ragionata di esperienze vincenti già rea- lizzate</w:t>
      </w:r>
      <w:r w:rsidR="00D42DC8" w:rsidRPr="006605EB">
        <w:t>.</w:t>
      </w:r>
    </w:p>
    <w:p w14:paraId="0EB04F68" w14:textId="41B0D403" w:rsidR="00D42DC8" w:rsidRDefault="00D42DC8" w:rsidP="00B443C7">
      <w:pPr>
        <w:spacing w:after="160" w:line="259" w:lineRule="auto"/>
        <w:ind w:left="0" w:right="0" w:firstLine="0"/>
        <w:jc w:val="left"/>
      </w:pPr>
      <w:r>
        <w:br w:type="page"/>
      </w:r>
    </w:p>
    <w:p w14:paraId="22ED571A" w14:textId="183B9565" w:rsidR="009E06BB" w:rsidRDefault="00C50EE1" w:rsidP="00B443C7">
      <w:pPr>
        <w:pStyle w:val="Titolo1"/>
        <w:spacing w:before="120" w:after="120" w:line="288" w:lineRule="auto"/>
        <w:ind w:left="0" w:firstLine="0"/>
        <w:jc w:val="center"/>
      </w:pPr>
      <w:r>
        <w:lastRenderedPageBreak/>
        <w:t>PROGRAMMA</w:t>
      </w:r>
    </w:p>
    <w:p w14:paraId="545017A1" w14:textId="53C2E13C" w:rsidR="00A4613F" w:rsidRDefault="00A4613F" w:rsidP="00B443C7">
      <w:pPr>
        <w:pStyle w:val="Titolo1"/>
        <w:spacing w:before="120" w:after="0" w:line="288" w:lineRule="auto"/>
        <w:ind w:left="0" w:firstLine="0"/>
      </w:pPr>
      <w:r>
        <w:t>Prima sessione</w:t>
      </w:r>
    </w:p>
    <w:p w14:paraId="26E24D6F" w14:textId="4658B116" w:rsidR="00A4613F" w:rsidRDefault="00A4613F" w:rsidP="004C0AD4">
      <w:pPr>
        <w:tabs>
          <w:tab w:val="left" w:pos="1701"/>
          <w:tab w:val="left" w:pos="3969"/>
        </w:tabs>
        <w:spacing w:after="0" w:line="288" w:lineRule="auto"/>
        <w:ind w:left="0" w:right="0" w:firstLine="0"/>
        <w:jc w:val="left"/>
      </w:pPr>
      <w:r>
        <w:t>09</w:t>
      </w:r>
      <w:r w:rsidR="00831182">
        <w:t>:</w:t>
      </w:r>
      <w:r>
        <w:t>00</w:t>
      </w:r>
      <w:r w:rsidR="00831182">
        <w:t xml:space="preserve"> - 0</w:t>
      </w:r>
      <w:r>
        <w:t>9</w:t>
      </w:r>
      <w:r w:rsidR="00831182">
        <w:t>:</w:t>
      </w:r>
      <w:r>
        <w:t>30</w:t>
      </w:r>
      <w:r w:rsidR="00831182">
        <w:tab/>
      </w:r>
      <w:r w:rsidRPr="005656FF">
        <w:rPr>
          <w:b/>
          <w:bCs/>
        </w:rPr>
        <w:t>Accoglienza</w:t>
      </w:r>
    </w:p>
    <w:p w14:paraId="4C0508E7" w14:textId="4D9D271A" w:rsidR="00A4613F" w:rsidRPr="005656FF" w:rsidRDefault="00A4613F" w:rsidP="004C0AD4">
      <w:pPr>
        <w:tabs>
          <w:tab w:val="left" w:pos="1701"/>
          <w:tab w:val="left" w:pos="3969"/>
        </w:tabs>
        <w:spacing w:before="180" w:after="0" w:line="288" w:lineRule="auto"/>
        <w:ind w:left="0" w:right="0" w:firstLine="0"/>
        <w:jc w:val="left"/>
        <w:rPr>
          <w:i/>
          <w:iCs/>
          <w:sz w:val="20"/>
          <w:szCs w:val="20"/>
        </w:rPr>
      </w:pPr>
      <w:r>
        <w:t>09</w:t>
      </w:r>
      <w:r w:rsidR="00831182">
        <w:t>:</w:t>
      </w:r>
      <w:r>
        <w:t>30</w:t>
      </w:r>
      <w:r w:rsidR="00831182">
        <w:t xml:space="preserve"> - </w:t>
      </w:r>
      <w:r>
        <w:t>09,40</w:t>
      </w:r>
      <w:r w:rsidR="00831182">
        <w:tab/>
      </w:r>
      <w:r w:rsidRPr="005656FF">
        <w:rPr>
          <w:b/>
          <w:bCs/>
        </w:rPr>
        <w:t>Saluto</w:t>
      </w:r>
      <w:r>
        <w:tab/>
      </w:r>
      <w:r w:rsidRPr="005656FF">
        <w:rPr>
          <w:i/>
          <w:iCs/>
          <w:sz w:val="20"/>
          <w:szCs w:val="20"/>
        </w:rPr>
        <w:t>Mario Minola* (Direttore Generale Assessorato Sanità)</w:t>
      </w:r>
    </w:p>
    <w:p w14:paraId="6577A374" w14:textId="288369F3" w:rsidR="00A4613F" w:rsidRPr="005656FF" w:rsidRDefault="00A4613F" w:rsidP="004C0AD4">
      <w:pPr>
        <w:tabs>
          <w:tab w:val="left" w:pos="1701"/>
          <w:tab w:val="left" w:pos="3969"/>
        </w:tabs>
        <w:spacing w:before="180" w:after="0" w:line="288" w:lineRule="auto"/>
        <w:ind w:left="0" w:right="0" w:firstLine="0"/>
        <w:jc w:val="left"/>
        <w:rPr>
          <w:i/>
          <w:iCs/>
          <w:sz w:val="20"/>
          <w:szCs w:val="20"/>
        </w:rPr>
      </w:pPr>
      <w:r>
        <w:t>09</w:t>
      </w:r>
      <w:r w:rsidR="00831182">
        <w:t>:</w:t>
      </w:r>
      <w:r>
        <w:t>40</w:t>
      </w:r>
      <w:r w:rsidR="00831182">
        <w:t xml:space="preserve"> – </w:t>
      </w:r>
      <w:r>
        <w:t>09</w:t>
      </w:r>
      <w:r w:rsidR="00831182">
        <w:t>:</w:t>
      </w:r>
      <w:r>
        <w:t>50</w:t>
      </w:r>
      <w:r w:rsidR="00831182">
        <w:tab/>
      </w:r>
      <w:r w:rsidRPr="005656FF">
        <w:rPr>
          <w:b/>
          <w:bCs/>
        </w:rPr>
        <w:t>Introduzione</w:t>
      </w:r>
      <w:r>
        <w:tab/>
      </w:r>
      <w:r w:rsidRPr="005656FF">
        <w:rPr>
          <w:i/>
          <w:iCs/>
          <w:sz w:val="20"/>
          <w:szCs w:val="20"/>
        </w:rPr>
        <w:t>Alessio Terzi (</w:t>
      </w:r>
      <w:proofErr w:type="spellStart"/>
      <w:r w:rsidRPr="005656FF">
        <w:rPr>
          <w:i/>
          <w:iCs/>
          <w:sz w:val="20"/>
          <w:szCs w:val="20"/>
        </w:rPr>
        <w:t>past</w:t>
      </w:r>
      <w:proofErr w:type="spellEnd"/>
      <w:r w:rsidRPr="005656FF">
        <w:rPr>
          <w:i/>
          <w:iCs/>
          <w:sz w:val="20"/>
          <w:szCs w:val="20"/>
        </w:rPr>
        <w:t xml:space="preserve"> </w:t>
      </w:r>
      <w:proofErr w:type="spellStart"/>
      <w:r w:rsidRPr="005656FF">
        <w:rPr>
          <w:i/>
          <w:iCs/>
          <w:sz w:val="20"/>
          <w:szCs w:val="20"/>
        </w:rPr>
        <w:t>president</w:t>
      </w:r>
      <w:proofErr w:type="spellEnd"/>
      <w:r w:rsidRPr="005656FF">
        <w:rPr>
          <w:i/>
          <w:iCs/>
          <w:sz w:val="20"/>
          <w:szCs w:val="20"/>
        </w:rPr>
        <w:t xml:space="preserve"> Cittadinanzattiva)</w:t>
      </w:r>
    </w:p>
    <w:p w14:paraId="0C79A9A9" w14:textId="58FE6862" w:rsidR="00831182" w:rsidRDefault="00C50EE1" w:rsidP="004C0AD4">
      <w:pPr>
        <w:tabs>
          <w:tab w:val="left" w:pos="1701"/>
          <w:tab w:val="left" w:pos="3969"/>
        </w:tabs>
        <w:spacing w:before="180" w:after="0" w:line="288" w:lineRule="auto"/>
        <w:ind w:left="0" w:right="0" w:firstLine="0"/>
        <w:jc w:val="left"/>
      </w:pPr>
      <w:r>
        <w:t>09</w:t>
      </w:r>
      <w:r w:rsidR="00831182">
        <w:t>:</w:t>
      </w:r>
      <w:r>
        <w:t>50</w:t>
      </w:r>
      <w:r w:rsidR="00831182">
        <w:t xml:space="preserve"> – 1</w:t>
      </w:r>
      <w:r>
        <w:t>0</w:t>
      </w:r>
      <w:r w:rsidR="00831182">
        <w:t>:</w:t>
      </w:r>
      <w:r>
        <w:t>10</w:t>
      </w:r>
      <w:r w:rsidR="00831182">
        <w:tab/>
      </w:r>
      <w:r w:rsidRPr="005656FF">
        <w:rPr>
          <w:b/>
          <w:bCs/>
        </w:rPr>
        <w:t>Primo confronto:</w:t>
      </w:r>
      <w:r w:rsidR="00F05070">
        <w:tab/>
      </w:r>
      <w:r w:rsidR="00831182">
        <w:t>I</w:t>
      </w:r>
      <w:r>
        <w:t xml:space="preserve"> distretti e le comunità locali</w:t>
      </w:r>
    </w:p>
    <w:p w14:paraId="3D10A2BB" w14:textId="13E351FC" w:rsidR="009E06BB" w:rsidRPr="00C73DCE" w:rsidRDefault="00C50EE1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C73DCE">
        <w:rPr>
          <w:i/>
          <w:iCs/>
          <w:sz w:val="20"/>
          <w:szCs w:val="20"/>
        </w:rPr>
        <w:t>Mara Scagni (Cittadinanzattiva) interroga Mario Traina* (direttore distretto di Chieri)</w:t>
      </w:r>
    </w:p>
    <w:p w14:paraId="1FD848D9" w14:textId="4B5AA06F" w:rsidR="009E06BB" w:rsidRDefault="00C50EE1" w:rsidP="004C0AD4">
      <w:pPr>
        <w:tabs>
          <w:tab w:val="left" w:pos="1701"/>
          <w:tab w:val="left" w:pos="3969"/>
        </w:tabs>
        <w:spacing w:before="180" w:after="0" w:line="288" w:lineRule="auto"/>
        <w:ind w:left="0" w:right="0" w:firstLine="0"/>
        <w:jc w:val="left"/>
      </w:pPr>
      <w:r>
        <w:t>10</w:t>
      </w:r>
      <w:r w:rsidR="00F05070">
        <w:t>:</w:t>
      </w:r>
      <w:r>
        <w:t>10</w:t>
      </w:r>
      <w:r w:rsidR="00F05070">
        <w:t xml:space="preserve"> – 1</w:t>
      </w:r>
      <w:r>
        <w:t>0</w:t>
      </w:r>
      <w:r w:rsidR="00F05070">
        <w:t>:</w:t>
      </w:r>
      <w:r>
        <w:t>30</w:t>
      </w:r>
      <w:r w:rsidR="00F05070">
        <w:tab/>
      </w:r>
      <w:r w:rsidRPr="005656FF">
        <w:rPr>
          <w:b/>
          <w:bCs/>
        </w:rPr>
        <w:t>Secondo confronto:</w:t>
      </w:r>
      <w:r w:rsidR="00F05070">
        <w:tab/>
      </w:r>
      <w:r>
        <w:t>Le case della comunità</w:t>
      </w:r>
    </w:p>
    <w:p w14:paraId="476F7224" w14:textId="026166EF" w:rsidR="009E06BB" w:rsidRPr="00C73DCE" w:rsidRDefault="00C50EE1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C73DCE">
        <w:rPr>
          <w:i/>
          <w:iCs/>
          <w:sz w:val="20"/>
          <w:szCs w:val="20"/>
        </w:rPr>
        <w:t>Giulio Fornero (coordinatore rete HPH) interroga Carlo Romano (direttore distretto TO Nord</w:t>
      </w:r>
    </w:p>
    <w:p w14:paraId="11C8EFE2" w14:textId="684E5E40" w:rsidR="009E06BB" w:rsidRDefault="00F05070" w:rsidP="004C0AD4">
      <w:pPr>
        <w:tabs>
          <w:tab w:val="left" w:pos="1701"/>
          <w:tab w:val="left" w:pos="3969"/>
        </w:tabs>
        <w:spacing w:before="180" w:after="0" w:line="288" w:lineRule="auto"/>
        <w:ind w:left="0" w:right="0" w:firstLine="0"/>
        <w:jc w:val="left"/>
      </w:pPr>
      <w:r>
        <w:t>10:30 – 10:50</w:t>
      </w:r>
      <w:r>
        <w:tab/>
      </w:r>
      <w:r w:rsidRPr="00C73DCE">
        <w:rPr>
          <w:b/>
          <w:bCs/>
        </w:rPr>
        <w:t>Terzo confronto:</w:t>
      </w:r>
      <w:r>
        <w:tab/>
        <w:t>I percorsi e i piani personalizzati.</w:t>
      </w:r>
    </w:p>
    <w:p w14:paraId="64A76566" w14:textId="5B8295E5" w:rsidR="009E06BB" w:rsidRPr="00C73DCE" w:rsidRDefault="00C50EE1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C73DCE">
        <w:rPr>
          <w:i/>
          <w:iCs/>
          <w:sz w:val="20"/>
          <w:szCs w:val="20"/>
        </w:rPr>
        <w:t xml:space="preserve">Ugo </w:t>
      </w:r>
      <w:proofErr w:type="spellStart"/>
      <w:r w:rsidRPr="00C73DCE">
        <w:rPr>
          <w:i/>
          <w:iCs/>
          <w:sz w:val="20"/>
          <w:szCs w:val="20"/>
        </w:rPr>
        <w:t>Viora</w:t>
      </w:r>
      <w:proofErr w:type="spellEnd"/>
      <w:r w:rsidRPr="00C73DCE">
        <w:rPr>
          <w:i/>
          <w:iCs/>
          <w:sz w:val="20"/>
          <w:szCs w:val="20"/>
        </w:rPr>
        <w:t xml:space="preserve"> (coordinamento malati cronici) interroga Sara Deangelis (Infermiera Direzione Professioni Sanitarie ASL Città di Torino)</w:t>
      </w:r>
    </w:p>
    <w:p w14:paraId="2A9914D5" w14:textId="77777777" w:rsidR="00C73DCE" w:rsidRDefault="00C73DCE" w:rsidP="004C0AD4">
      <w:pPr>
        <w:tabs>
          <w:tab w:val="left" w:pos="1701"/>
          <w:tab w:val="left" w:pos="3969"/>
        </w:tabs>
        <w:spacing w:before="180" w:after="0" w:line="288" w:lineRule="auto"/>
        <w:ind w:left="0" w:right="0" w:firstLine="0"/>
        <w:jc w:val="left"/>
      </w:pPr>
      <w:r>
        <w:t>10:50 – 11:10</w:t>
      </w:r>
      <w:r>
        <w:tab/>
      </w:r>
      <w:r w:rsidRPr="005656FF">
        <w:rPr>
          <w:b/>
          <w:bCs/>
        </w:rPr>
        <w:t>Quarto confronto:</w:t>
      </w:r>
      <w:r>
        <w:tab/>
        <w:t>Le COT e la partecipazione civica</w:t>
      </w:r>
    </w:p>
    <w:p w14:paraId="0E4944B9" w14:textId="6C3A8361" w:rsidR="009E06BB" w:rsidRPr="00C73DCE" w:rsidRDefault="00C50EE1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C73DCE">
        <w:rPr>
          <w:i/>
          <w:iCs/>
          <w:sz w:val="20"/>
          <w:szCs w:val="20"/>
        </w:rPr>
        <w:t>Alessio Terzi (Cittadinanzattiva) interroga Arabella Fontana (direttore medico ospedale Borgomanero</w:t>
      </w:r>
      <w:r w:rsidR="00C73DCE">
        <w:rPr>
          <w:i/>
          <w:iCs/>
          <w:sz w:val="20"/>
          <w:szCs w:val="20"/>
        </w:rPr>
        <w:t>)</w:t>
      </w:r>
    </w:p>
    <w:p w14:paraId="072DA1FF" w14:textId="29DEDE15" w:rsidR="009E06BB" w:rsidRDefault="00C73DCE" w:rsidP="004C0AD4">
      <w:pPr>
        <w:tabs>
          <w:tab w:val="left" w:pos="1701"/>
          <w:tab w:val="left" w:pos="3969"/>
        </w:tabs>
        <w:spacing w:before="180" w:after="0" w:line="288" w:lineRule="auto"/>
        <w:ind w:left="0" w:right="0" w:firstLine="0"/>
        <w:jc w:val="left"/>
      </w:pPr>
      <w:r>
        <w:t>11:10 - 11:50</w:t>
      </w:r>
      <w:r w:rsidR="00906B39">
        <w:tab/>
      </w:r>
      <w:r w:rsidRPr="005656FF">
        <w:rPr>
          <w:b/>
          <w:bCs/>
        </w:rPr>
        <w:t>Commenti:</w:t>
      </w:r>
      <w:r w:rsidR="00906B39">
        <w:tab/>
        <w:t>T</w:t>
      </w:r>
      <w:r>
        <w:t>avola rotonda con</w:t>
      </w:r>
      <w:r w:rsidR="00906B39">
        <w:t>:</w:t>
      </w:r>
    </w:p>
    <w:p w14:paraId="679FC55A" w14:textId="128130F9" w:rsidR="009E06BB" w:rsidRPr="00C73DCE" w:rsidRDefault="00C50EE1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C73DCE">
        <w:rPr>
          <w:i/>
          <w:iCs/>
          <w:sz w:val="20"/>
          <w:szCs w:val="20"/>
        </w:rPr>
        <w:t>Alessandro Stecco (presidente IV Commissione Consiglio regionale), Flavio Boras</w:t>
      </w:r>
      <w:r w:rsidR="00906B39">
        <w:rPr>
          <w:i/>
          <w:iCs/>
          <w:sz w:val="20"/>
          <w:szCs w:val="20"/>
        </w:rPr>
        <w:t xml:space="preserve">o </w:t>
      </w:r>
      <w:r w:rsidRPr="00C73DCE">
        <w:rPr>
          <w:i/>
          <w:iCs/>
          <w:sz w:val="20"/>
          <w:szCs w:val="20"/>
        </w:rPr>
        <w:t xml:space="preserve">(Presidente regionale </w:t>
      </w:r>
      <w:proofErr w:type="spellStart"/>
      <w:r w:rsidRPr="00C73DCE">
        <w:rPr>
          <w:i/>
          <w:iCs/>
          <w:sz w:val="20"/>
          <w:szCs w:val="20"/>
        </w:rPr>
        <w:t>Federsanità</w:t>
      </w:r>
      <w:proofErr w:type="spellEnd"/>
      <w:r w:rsidRPr="00C73DCE">
        <w:rPr>
          <w:i/>
          <w:iCs/>
          <w:sz w:val="20"/>
          <w:szCs w:val="20"/>
        </w:rPr>
        <w:t>), Chiara Serpieri (coordinatore regionale FIASO), Monica</w:t>
      </w:r>
      <w:r w:rsidR="00906B39">
        <w:rPr>
          <w:i/>
          <w:iCs/>
          <w:sz w:val="20"/>
          <w:szCs w:val="20"/>
        </w:rPr>
        <w:t xml:space="preserve"> </w:t>
      </w:r>
      <w:r w:rsidRPr="00C73DCE">
        <w:rPr>
          <w:i/>
          <w:iCs/>
          <w:sz w:val="20"/>
          <w:szCs w:val="20"/>
        </w:rPr>
        <w:t>Rolfo (Vicepresidente OPI Torino), Angelica Salvadori (</w:t>
      </w:r>
      <w:proofErr w:type="spellStart"/>
      <w:r w:rsidRPr="00C73DCE">
        <w:rPr>
          <w:i/>
          <w:iCs/>
          <w:sz w:val="20"/>
          <w:szCs w:val="20"/>
        </w:rPr>
        <w:t>Consi</w:t>
      </w:r>
      <w:r w:rsidR="00300123" w:rsidRPr="00C73DCE">
        <w:rPr>
          <w:i/>
          <w:iCs/>
          <w:sz w:val="20"/>
          <w:szCs w:val="20"/>
        </w:rPr>
        <w:t>gl</w:t>
      </w:r>
      <w:r w:rsidRPr="00C73DCE">
        <w:rPr>
          <w:i/>
          <w:iCs/>
          <w:sz w:val="20"/>
          <w:szCs w:val="20"/>
        </w:rPr>
        <w:t>iere.Omceo</w:t>
      </w:r>
      <w:proofErr w:type="spellEnd"/>
      <w:r w:rsidRPr="00C73DCE">
        <w:rPr>
          <w:i/>
          <w:iCs/>
          <w:sz w:val="20"/>
          <w:szCs w:val="20"/>
        </w:rPr>
        <w:t xml:space="preserve"> Torino), Massimo Mana (Presidente regionale Federfarma), Antonino Attinà (Presidente Ordine assistenti sociali)</w:t>
      </w:r>
    </w:p>
    <w:p w14:paraId="6E1E5F13" w14:textId="77777777" w:rsidR="00906B39" w:rsidRDefault="00C50EE1" w:rsidP="004C0AD4">
      <w:pPr>
        <w:tabs>
          <w:tab w:val="left" w:pos="1701"/>
          <w:tab w:val="left" w:pos="3969"/>
        </w:tabs>
        <w:spacing w:before="180" w:after="0" w:line="288" w:lineRule="auto"/>
        <w:ind w:left="0" w:right="0" w:firstLine="0"/>
        <w:jc w:val="left"/>
      </w:pPr>
      <w:r>
        <w:t>11</w:t>
      </w:r>
      <w:r w:rsidR="00906B39">
        <w:t>:</w:t>
      </w:r>
      <w:r>
        <w:t>50</w:t>
      </w:r>
      <w:r w:rsidR="00906B39">
        <w:t xml:space="preserve"> – </w:t>
      </w:r>
      <w:r>
        <w:t>12</w:t>
      </w:r>
      <w:r w:rsidR="00906B39">
        <w:t>:</w:t>
      </w:r>
      <w:r>
        <w:t>00</w:t>
      </w:r>
      <w:r w:rsidR="00906B39">
        <w:tab/>
      </w:r>
      <w:r w:rsidRPr="005656FF">
        <w:rPr>
          <w:b/>
          <w:bCs/>
        </w:rPr>
        <w:t>Una prima sintesi</w:t>
      </w:r>
      <w:r w:rsidR="00906B39" w:rsidRPr="005656FF">
        <w:rPr>
          <w:b/>
          <w:bCs/>
        </w:rPr>
        <w:t>:</w:t>
      </w:r>
    </w:p>
    <w:p w14:paraId="7762FA1D" w14:textId="04E6EA5C" w:rsidR="009E06BB" w:rsidRPr="00906B39" w:rsidRDefault="00C50EE1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906B39">
        <w:rPr>
          <w:i/>
          <w:iCs/>
          <w:sz w:val="20"/>
          <w:szCs w:val="20"/>
        </w:rPr>
        <w:t>Giulio Fornero (coordinatore rete HPH)</w:t>
      </w:r>
    </w:p>
    <w:p w14:paraId="1E6415FC" w14:textId="04801535" w:rsidR="00906B39" w:rsidRDefault="00C50EE1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906B39">
        <w:rPr>
          <w:i/>
          <w:iCs/>
          <w:sz w:val="20"/>
          <w:szCs w:val="20"/>
        </w:rPr>
        <w:t>Mara Scagni (Segretario regionale Cittadinanzattiva</w:t>
      </w:r>
      <w:r w:rsidR="00906B39">
        <w:rPr>
          <w:i/>
          <w:iCs/>
          <w:sz w:val="20"/>
          <w:szCs w:val="20"/>
        </w:rPr>
        <w:t>)</w:t>
      </w:r>
    </w:p>
    <w:p w14:paraId="63DD3B4D" w14:textId="1A0BDCE2" w:rsidR="009E06BB" w:rsidRDefault="00C50EE1" w:rsidP="00B443C7">
      <w:pPr>
        <w:pStyle w:val="Titolo1"/>
        <w:spacing w:before="480" w:after="0" w:line="288" w:lineRule="auto"/>
        <w:ind w:left="0" w:firstLine="0"/>
      </w:pPr>
      <w:r>
        <w:t>Seconda Sessione</w:t>
      </w:r>
    </w:p>
    <w:p w14:paraId="5EBB4703" w14:textId="2375570F" w:rsidR="0067259F" w:rsidRPr="00906B39" w:rsidRDefault="00906B39" w:rsidP="004C0AD4">
      <w:pPr>
        <w:tabs>
          <w:tab w:val="left" w:pos="1701"/>
          <w:tab w:val="left" w:pos="3969"/>
        </w:tabs>
        <w:spacing w:after="0" w:line="288" w:lineRule="auto"/>
        <w:ind w:left="0" w:right="0" w:firstLine="0"/>
        <w:jc w:val="left"/>
      </w:pPr>
      <w:r w:rsidRPr="00906B39">
        <w:t>1</w:t>
      </w:r>
      <w:r w:rsidR="0067259F" w:rsidRPr="00906B39">
        <w:t>2</w:t>
      </w:r>
      <w:r w:rsidRPr="00906B39">
        <w:t>:</w:t>
      </w:r>
      <w:r w:rsidR="0067259F" w:rsidRPr="00906B39">
        <w:t>00</w:t>
      </w:r>
      <w:r w:rsidRPr="00906B39">
        <w:t xml:space="preserve"> – 1</w:t>
      </w:r>
      <w:r w:rsidR="0067259F" w:rsidRPr="00906B39">
        <w:t>2</w:t>
      </w:r>
      <w:r w:rsidRPr="00906B39">
        <w:t>:</w:t>
      </w:r>
      <w:r w:rsidR="0067259F" w:rsidRPr="00906B39">
        <w:t>45</w:t>
      </w:r>
      <w:r w:rsidRPr="00906B39">
        <w:tab/>
      </w:r>
      <w:r w:rsidR="0067259F" w:rsidRPr="004C0AD4">
        <w:t>Il quadro nazionale</w:t>
      </w:r>
    </w:p>
    <w:p w14:paraId="6799AA2C" w14:textId="54CFE2CB" w:rsidR="00906B39" w:rsidRPr="00906B39" w:rsidRDefault="00906B39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906B39">
        <w:rPr>
          <w:i/>
          <w:iCs/>
          <w:sz w:val="20"/>
          <w:szCs w:val="20"/>
        </w:rPr>
        <w:t>Alice Borghini* (</w:t>
      </w:r>
      <w:proofErr w:type="spellStart"/>
      <w:r w:rsidRPr="00906B39">
        <w:rPr>
          <w:i/>
          <w:iCs/>
          <w:sz w:val="20"/>
          <w:szCs w:val="20"/>
        </w:rPr>
        <w:t>Agenas</w:t>
      </w:r>
      <w:proofErr w:type="spellEnd"/>
      <w:r w:rsidRPr="00906B39">
        <w:rPr>
          <w:i/>
          <w:iCs/>
          <w:sz w:val="20"/>
          <w:szCs w:val="20"/>
        </w:rPr>
        <w:t>)</w:t>
      </w:r>
    </w:p>
    <w:p w14:paraId="7023C9AA" w14:textId="4F1EF3A1" w:rsidR="009E06BB" w:rsidRPr="00906B39" w:rsidRDefault="00C50EE1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906B39">
        <w:rPr>
          <w:i/>
          <w:iCs/>
          <w:sz w:val="20"/>
          <w:szCs w:val="20"/>
        </w:rPr>
        <w:t>Anna Lisa Mandorino (segretario generale di Cittadinanzattiva)</w:t>
      </w:r>
    </w:p>
    <w:p w14:paraId="4E1FDBFF" w14:textId="384C7108" w:rsidR="0067259F" w:rsidRPr="00906B39" w:rsidRDefault="00C50EE1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906B39">
        <w:rPr>
          <w:i/>
          <w:iCs/>
          <w:sz w:val="20"/>
          <w:szCs w:val="20"/>
        </w:rPr>
        <w:t>Antonio Gaudioso (Ministero della Sanità</w:t>
      </w:r>
      <w:r w:rsidR="00070882">
        <w:rPr>
          <w:i/>
          <w:iCs/>
          <w:sz w:val="20"/>
          <w:szCs w:val="20"/>
        </w:rPr>
        <w:t>)</w:t>
      </w:r>
    </w:p>
    <w:p w14:paraId="27FC7D63" w14:textId="35BCD035" w:rsidR="009E06BB" w:rsidRPr="00906B39" w:rsidRDefault="0067259F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906B39">
        <w:rPr>
          <w:i/>
          <w:iCs/>
          <w:sz w:val="20"/>
          <w:szCs w:val="20"/>
        </w:rPr>
        <w:t xml:space="preserve">Nerina </w:t>
      </w:r>
      <w:proofErr w:type="spellStart"/>
      <w:r w:rsidRPr="00906B39">
        <w:rPr>
          <w:i/>
          <w:iCs/>
          <w:sz w:val="20"/>
          <w:szCs w:val="20"/>
        </w:rPr>
        <w:t>Dirindin</w:t>
      </w:r>
      <w:proofErr w:type="spellEnd"/>
      <w:r w:rsidRPr="00906B39">
        <w:rPr>
          <w:i/>
          <w:iCs/>
          <w:sz w:val="20"/>
          <w:szCs w:val="20"/>
        </w:rPr>
        <w:t xml:space="preserve"> (Presidente CIPES)</w:t>
      </w:r>
    </w:p>
    <w:p w14:paraId="7C5B2A27" w14:textId="5BF774C5" w:rsidR="00070882" w:rsidRDefault="00070882" w:rsidP="004C0AD4">
      <w:pPr>
        <w:tabs>
          <w:tab w:val="left" w:pos="1701"/>
          <w:tab w:val="left" w:pos="3969"/>
        </w:tabs>
        <w:spacing w:before="180" w:after="0" w:line="288" w:lineRule="auto"/>
        <w:ind w:left="0" w:right="0" w:firstLine="0"/>
        <w:jc w:val="left"/>
      </w:pPr>
      <w:r>
        <w:t>1</w:t>
      </w:r>
      <w:r w:rsidRPr="00070882">
        <w:t>3</w:t>
      </w:r>
      <w:r>
        <w:t>:</w:t>
      </w:r>
      <w:r w:rsidRPr="00070882">
        <w:t>45</w:t>
      </w:r>
      <w:r>
        <w:tab/>
      </w:r>
      <w:r w:rsidRPr="005656FF">
        <w:rPr>
          <w:b/>
          <w:bCs/>
        </w:rPr>
        <w:t>Conclusioni</w:t>
      </w:r>
      <w:r>
        <w:tab/>
      </w:r>
      <w:r w:rsidRPr="005656FF">
        <w:rPr>
          <w:i/>
          <w:iCs/>
          <w:sz w:val="20"/>
          <w:szCs w:val="20"/>
        </w:rPr>
        <w:t>Luigi Genesio Icardi (Assessore regionale alla Sanità)</w:t>
      </w:r>
    </w:p>
    <w:p w14:paraId="1C6317E8" w14:textId="3B6AE844" w:rsidR="009E06BB" w:rsidRDefault="00C50EE1" w:rsidP="00B443C7">
      <w:pPr>
        <w:spacing w:before="240" w:after="0" w:line="288" w:lineRule="auto"/>
        <w:ind w:left="0" w:right="0" w:firstLine="0"/>
        <w:jc w:val="left"/>
      </w:pPr>
      <w:r>
        <w:rPr>
          <w:i/>
          <w:sz w:val="16"/>
        </w:rPr>
        <w:t>*in attesa di conferma</w:t>
      </w:r>
    </w:p>
    <w:p w14:paraId="7B7CEBF0" w14:textId="77777777" w:rsidR="00C9559D" w:rsidRDefault="00C9559D" w:rsidP="00B443C7">
      <w:pPr>
        <w:pStyle w:val="Titolo1"/>
        <w:spacing w:before="480" w:after="0" w:line="288" w:lineRule="auto"/>
        <w:ind w:left="0" w:firstLine="0"/>
      </w:pPr>
    </w:p>
    <w:p w14:paraId="2D6C5873" w14:textId="632E1F8A" w:rsidR="009E06BB" w:rsidRDefault="00C50EE1" w:rsidP="00B443C7">
      <w:pPr>
        <w:pStyle w:val="Titolo1"/>
        <w:spacing w:before="480" w:after="0" w:line="288" w:lineRule="auto"/>
        <w:ind w:left="0" w:firstLine="0"/>
      </w:pPr>
      <w:r>
        <w:t>Terza Sessione</w:t>
      </w:r>
    </w:p>
    <w:p w14:paraId="3AD2F1DB" w14:textId="7A348EA8" w:rsidR="009B1DAD" w:rsidRPr="009B1DAD" w:rsidRDefault="00C50EE1" w:rsidP="009B1DAD">
      <w:pPr>
        <w:tabs>
          <w:tab w:val="left" w:pos="1701"/>
          <w:tab w:val="left" w:pos="3969"/>
        </w:tabs>
        <w:spacing w:after="0" w:line="288" w:lineRule="auto"/>
        <w:ind w:left="0" w:right="0" w:firstLine="0"/>
        <w:jc w:val="left"/>
        <w:rPr>
          <w:i/>
          <w:sz w:val="20"/>
        </w:rPr>
      </w:pPr>
      <w:r>
        <w:t>14</w:t>
      </w:r>
      <w:r w:rsidR="00070882">
        <w:t>:</w:t>
      </w:r>
      <w:r>
        <w:t>30</w:t>
      </w:r>
      <w:r w:rsidR="00070882">
        <w:t xml:space="preserve"> – </w:t>
      </w:r>
      <w:r>
        <w:t>14</w:t>
      </w:r>
      <w:r w:rsidR="00070882">
        <w:t>:</w:t>
      </w:r>
      <w:r>
        <w:t>40</w:t>
      </w:r>
      <w:r w:rsidR="00070882">
        <w:tab/>
      </w:r>
      <w:r w:rsidRPr="004C0AD4">
        <w:rPr>
          <w:b/>
          <w:bCs/>
        </w:rPr>
        <w:t>Apertura</w:t>
      </w:r>
      <w:r w:rsidR="00070882">
        <w:tab/>
      </w:r>
      <w:r w:rsidRPr="005656FF">
        <w:rPr>
          <w:i/>
          <w:iCs/>
          <w:sz w:val="20"/>
          <w:szCs w:val="20"/>
        </w:rPr>
        <w:t>Giulio Fornero (coordinatore rete HPH</w:t>
      </w:r>
      <w:r w:rsidR="009B1DAD">
        <w:rPr>
          <w:i/>
          <w:iCs/>
          <w:sz w:val="20"/>
          <w:szCs w:val="20"/>
        </w:rPr>
        <w:t xml:space="preserve"> Piemonte</w:t>
      </w:r>
      <w:r w:rsidR="0049253F" w:rsidRPr="005656FF">
        <w:rPr>
          <w:i/>
          <w:iCs/>
          <w:sz w:val="20"/>
          <w:szCs w:val="20"/>
        </w:rPr>
        <w:t>)</w:t>
      </w:r>
      <w:r w:rsidR="00070882" w:rsidRPr="005656FF">
        <w:br/>
      </w:r>
      <w:r w:rsidR="00070882">
        <w:rPr>
          <w:i/>
          <w:sz w:val="20"/>
        </w:rPr>
        <w:tab/>
      </w:r>
      <w:r w:rsidR="00070882">
        <w:rPr>
          <w:i/>
          <w:sz w:val="20"/>
        </w:rPr>
        <w:tab/>
        <w:t>Ilaria Simonelli (HPH International Board)</w:t>
      </w:r>
      <w:r w:rsidR="00070882">
        <w:rPr>
          <w:i/>
          <w:sz w:val="20"/>
        </w:rPr>
        <w:br/>
      </w:r>
      <w:r w:rsidR="00070882">
        <w:rPr>
          <w:i/>
          <w:sz w:val="20"/>
        </w:rPr>
        <w:tab/>
      </w:r>
      <w:r w:rsidR="00070882">
        <w:rPr>
          <w:i/>
          <w:sz w:val="20"/>
        </w:rPr>
        <w:tab/>
      </w:r>
      <w:r>
        <w:rPr>
          <w:i/>
          <w:sz w:val="20"/>
        </w:rPr>
        <w:t xml:space="preserve">Cristina </w:t>
      </w:r>
      <w:proofErr w:type="spellStart"/>
      <w:r>
        <w:rPr>
          <w:i/>
          <w:sz w:val="20"/>
        </w:rPr>
        <w:t>Aguzzoli</w:t>
      </w:r>
      <w:proofErr w:type="spellEnd"/>
      <w:r>
        <w:rPr>
          <w:i/>
          <w:sz w:val="20"/>
        </w:rPr>
        <w:t xml:space="preserve"> (Reti HPH Italia)</w:t>
      </w:r>
    </w:p>
    <w:p w14:paraId="0BBA9857" w14:textId="08550957" w:rsidR="00F346E5" w:rsidRPr="005656FF" w:rsidRDefault="00C50EE1" w:rsidP="009B1DAD">
      <w:pPr>
        <w:tabs>
          <w:tab w:val="left" w:pos="1701"/>
          <w:tab w:val="left" w:pos="3969"/>
        </w:tabs>
        <w:spacing w:before="180" w:after="0" w:line="288" w:lineRule="auto"/>
        <w:ind w:left="1418" w:right="0" w:hanging="1418"/>
        <w:jc w:val="left"/>
      </w:pPr>
      <w:r>
        <w:t>14</w:t>
      </w:r>
      <w:r w:rsidR="00F346E5">
        <w:t>:</w:t>
      </w:r>
      <w:r>
        <w:t>40</w:t>
      </w:r>
      <w:r w:rsidR="00F346E5">
        <w:t xml:space="preserve"> – 1</w:t>
      </w:r>
      <w:r>
        <w:t>5</w:t>
      </w:r>
      <w:r w:rsidR="00F346E5">
        <w:t>:</w:t>
      </w:r>
      <w:r>
        <w:t>00</w:t>
      </w:r>
      <w:r w:rsidR="00F346E5">
        <w:tab/>
      </w:r>
      <w:r w:rsidR="00F346E5" w:rsidRPr="005656FF">
        <w:rPr>
          <w:b/>
          <w:bCs/>
        </w:rPr>
        <w:t>“</w:t>
      </w:r>
      <w:r w:rsidR="009B1DAD">
        <w:rPr>
          <w:b/>
          <w:bCs/>
        </w:rPr>
        <w:t xml:space="preserve">Piano Cronicità e </w:t>
      </w:r>
      <w:r w:rsidRPr="005656FF">
        <w:rPr>
          <w:b/>
          <w:bCs/>
        </w:rPr>
        <w:t>Il Piano Libero 12 (PL 12): la promozione della Salute nella Cronicità”</w:t>
      </w:r>
    </w:p>
    <w:p w14:paraId="0B3E620C" w14:textId="695E6401" w:rsidR="009E06BB" w:rsidRPr="004C0AD4" w:rsidRDefault="00C50EE1" w:rsidP="004C0AD4">
      <w:pPr>
        <w:spacing w:after="0" w:line="240" w:lineRule="auto"/>
        <w:ind w:left="851" w:right="0" w:firstLine="0"/>
        <w:rPr>
          <w:i/>
          <w:iCs/>
          <w:sz w:val="20"/>
          <w:szCs w:val="20"/>
        </w:rPr>
      </w:pPr>
      <w:r w:rsidRPr="004C0AD4">
        <w:rPr>
          <w:i/>
          <w:iCs/>
          <w:sz w:val="20"/>
          <w:szCs w:val="20"/>
        </w:rPr>
        <w:t>Gigliana Mainardi (</w:t>
      </w:r>
      <w:r w:rsidR="00300123" w:rsidRPr="004C0AD4">
        <w:rPr>
          <w:i/>
          <w:iCs/>
          <w:sz w:val="20"/>
          <w:szCs w:val="20"/>
        </w:rPr>
        <w:t>R</w:t>
      </w:r>
      <w:r w:rsidRPr="004C0AD4">
        <w:rPr>
          <w:i/>
          <w:iCs/>
          <w:sz w:val="20"/>
          <w:szCs w:val="20"/>
        </w:rPr>
        <w:t>egione Piemonte)</w:t>
      </w:r>
      <w:r w:rsidR="00C9559D">
        <w:rPr>
          <w:i/>
          <w:iCs/>
          <w:sz w:val="20"/>
          <w:szCs w:val="20"/>
        </w:rPr>
        <w:t xml:space="preserve"> Rossella </w:t>
      </w:r>
      <w:proofErr w:type="spellStart"/>
      <w:r w:rsidR="004B420B">
        <w:rPr>
          <w:i/>
          <w:iCs/>
          <w:sz w:val="20"/>
          <w:szCs w:val="20"/>
        </w:rPr>
        <w:t>Cristaudo</w:t>
      </w:r>
      <w:proofErr w:type="spellEnd"/>
      <w:r w:rsidR="004B420B">
        <w:rPr>
          <w:i/>
          <w:iCs/>
          <w:sz w:val="20"/>
          <w:szCs w:val="20"/>
        </w:rPr>
        <w:t xml:space="preserve"> </w:t>
      </w:r>
      <w:r w:rsidR="00C9559D">
        <w:rPr>
          <w:i/>
          <w:iCs/>
          <w:sz w:val="20"/>
          <w:szCs w:val="20"/>
        </w:rPr>
        <w:t xml:space="preserve">(Referente Regionale PL12) </w:t>
      </w:r>
    </w:p>
    <w:p w14:paraId="3113A688" w14:textId="284CFFDF" w:rsidR="009E06BB" w:rsidRDefault="00C50EE1" w:rsidP="00293E30">
      <w:pPr>
        <w:tabs>
          <w:tab w:val="left" w:pos="1701"/>
          <w:tab w:val="left" w:pos="3969"/>
        </w:tabs>
        <w:spacing w:before="180" w:after="0" w:line="288" w:lineRule="auto"/>
        <w:ind w:left="0" w:right="0" w:firstLine="0"/>
        <w:jc w:val="left"/>
      </w:pPr>
      <w:r>
        <w:t>15</w:t>
      </w:r>
      <w:r w:rsidR="00F346E5">
        <w:t>:</w:t>
      </w:r>
      <w:r>
        <w:t>00</w:t>
      </w:r>
      <w:r w:rsidR="00F346E5">
        <w:t xml:space="preserve"> – 1</w:t>
      </w:r>
      <w:r>
        <w:t>7</w:t>
      </w:r>
      <w:r w:rsidR="00F346E5">
        <w:t>:</w:t>
      </w:r>
      <w:r>
        <w:t>30</w:t>
      </w:r>
      <w:r w:rsidR="00F346E5">
        <w:tab/>
      </w:r>
      <w:r w:rsidRPr="00293E30">
        <w:rPr>
          <w:b/>
          <w:bCs/>
        </w:rPr>
        <w:t>Presentazione di esperienze sul campo di Cittadinanzattiva e rete HPH selezionate in collaborazione con la direzione dell’</w:t>
      </w:r>
      <w:r w:rsidR="000A2034" w:rsidRPr="00293E30">
        <w:rPr>
          <w:b/>
          <w:bCs/>
        </w:rPr>
        <w:t>A</w:t>
      </w:r>
      <w:r w:rsidRPr="00293E30">
        <w:rPr>
          <w:b/>
          <w:bCs/>
        </w:rPr>
        <w:t>ssessorato alla Sanità</w:t>
      </w:r>
    </w:p>
    <w:p w14:paraId="3D561828" w14:textId="34D2CDD9" w:rsidR="000F51CE" w:rsidRPr="004C0AD4" w:rsidRDefault="000F51CE" w:rsidP="009B1DAD">
      <w:pPr>
        <w:spacing w:after="120" w:line="288" w:lineRule="auto"/>
        <w:ind w:left="0" w:right="0" w:firstLine="567"/>
        <w:rPr>
          <w:i/>
          <w:iCs/>
          <w:sz w:val="20"/>
          <w:szCs w:val="20"/>
        </w:rPr>
      </w:pPr>
      <w:r w:rsidRPr="004C0AD4">
        <w:rPr>
          <w:i/>
          <w:iCs/>
          <w:sz w:val="20"/>
          <w:szCs w:val="20"/>
        </w:rPr>
        <w:t>Moderano Giulio Fornero e Giuseppina Viola</w:t>
      </w:r>
    </w:p>
    <w:p w14:paraId="450C13EB" w14:textId="74094CBC" w:rsidR="009E06BB" w:rsidRPr="00E82D28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</w:pPr>
      <w:r>
        <w:rPr>
          <w:i/>
          <w:sz w:val="20"/>
        </w:rPr>
        <w:t>“La persona con Malattia di Parkinson: narrazioni di malattia, di vita e azioni di cura” ASL TO4</w:t>
      </w:r>
    </w:p>
    <w:p w14:paraId="173858DF" w14:textId="3F7365F0" w:rsidR="00E82D28" w:rsidRPr="0049253F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</w:pPr>
      <w:r w:rsidRPr="00E82D28">
        <w:rPr>
          <w:i/>
          <w:sz w:val="20"/>
        </w:rPr>
        <w:t>“</w:t>
      </w:r>
      <w:proofErr w:type="spellStart"/>
      <w:r w:rsidRPr="00E82D28">
        <w:rPr>
          <w:i/>
          <w:sz w:val="20"/>
        </w:rPr>
        <w:t>Primary</w:t>
      </w:r>
      <w:proofErr w:type="spellEnd"/>
      <w:r w:rsidRPr="00E82D28">
        <w:rPr>
          <w:i/>
          <w:sz w:val="20"/>
        </w:rPr>
        <w:t xml:space="preserve"> Nursing. Coinvolgimento famiglia” Humanitas </w:t>
      </w:r>
      <w:proofErr w:type="spellStart"/>
      <w:r w:rsidRPr="00E82D28">
        <w:rPr>
          <w:i/>
          <w:sz w:val="20"/>
        </w:rPr>
        <w:t>Gradenigo</w:t>
      </w:r>
      <w:proofErr w:type="spellEnd"/>
    </w:p>
    <w:p w14:paraId="5010A501" w14:textId="77777777" w:rsidR="00E82D28" w:rsidRPr="00E82D28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</w:pPr>
      <w:r>
        <w:rPr>
          <w:i/>
          <w:sz w:val="20"/>
        </w:rPr>
        <w:t>“</w:t>
      </w:r>
      <w:proofErr w:type="spellStart"/>
      <w:r>
        <w:rPr>
          <w:i/>
          <w:sz w:val="20"/>
        </w:rPr>
        <w:t>Healing</w:t>
      </w:r>
      <w:proofErr w:type="spellEnd"/>
      <w:r>
        <w:rPr>
          <w:i/>
          <w:sz w:val="20"/>
        </w:rPr>
        <w:t xml:space="preserve"> Garden: Giardino Parlante. Raccontare la cura” AO Mauriziano</w:t>
      </w:r>
    </w:p>
    <w:p w14:paraId="0CB08018" w14:textId="5F867B8F" w:rsidR="00E82D28" w:rsidRPr="00E82D28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  <w:rPr>
          <w:i/>
          <w:sz w:val="20"/>
        </w:rPr>
      </w:pPr>
      <w:r w:rsidRPr="00E82D28">
        <w:rPr>
          <w:i/>
          <w:sz w:val="20"/>
        </w:rPr>
        <w:t>“La cura è di casa” ASL VCO</w:t>
      </w:r>
    </w:p>
    <w:p w14:paraId="253E834B" w14:textId="269868AB" w:rsidR="009E06BB" w:rsidRPr="00E82D28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</w:pPr>
      <w:r>
        <w:rPr>
          <w:i/>
          <w:sz w:val="20"/>
        </w:rPr>
        <w:t>“La lettura che cura” ASL Città di Torino</w:t>
      </w:r>
    </w:p>
    <w:p w14:paraId="2EDB120E" w14:textId="46C65933" w:rsidR="00E82D28" w:rsidRPr="00E82D28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  <w:rPr>
          <w:i/>
          <w:sz w:val="20"/>
        </w:rPr>
      </w:pPr>
      <w:r w:rsidRPr="00E82D28">
        <w:rPr>
          <w:i/>
          <w:sz w:val="20"/>
        </w:rPr>
        <w:t xml:space="preserve">“Sostegno ai care </w:t>
      </w:r>
      <w:proofErr w:type="spellStart"/>
      <w:r w:rsidRPr="00E82D28">
        <w:rPr>
          <w:i/>
          <w:sz w:val="20"/>
        </w:rPr>
        <w:t>giver</w:t>
      </w:r>
      <w:proofErr w:type="spellEnd"/>
      <w:r w:rsidRPr="00E82D28">
        <w:rPr>
          <w:i/>
          <w:sz w:val="20"/>
        </w:rPr>
        <w:t>” ASL TO5</w:t>
      </w:r>
    </w:p>
    <w:p w14:paraId="1CA73855" w14:textId="77777777" w:rsidR="00E82D28" w:rsidRPr="00E82D28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</w:pPr>
      <w:r>
        <w:rPr>
          <w:i/>
          <w:sz w:val="20"/>
        </w:rPr>
        <w:t xml:space="preserve">“Ca’ </w:t>
      </w:r>
      <w:proofErr w:type="spellStart"/>
      <w:r>
        <w:rPr>
          <w:i/>
          <w:sz w:val="20"/>
        </w:rPr>
        <w:t>d’argent</w:t>
      </w:r>
      <w:proofErr w:type="spellEnd"/>
      <w:r>
        <w:rPr>
          <w:i/>
          <w:sz w:val="20"/>
        </w:rPr>
        <w:t>. Come promuovere la salute e l’autonomia in soggetti fragili e anziani tramite tecnologie innovative” ASL CN2</w:t>
      </w:r>
    </w:p>
    <w:p w14:paraId="294B1120" w14:textId="75ABA711" w:rsidR="00E82D28" w:rsidRPr="00E82D28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  <w:rPr>
          <w:i/>
          <w:sz w:val="20"/>
        </w:rPr>
      </w:pPr>
      <w:r w:rsidRPr="00E82D28">
        <w:rPr>
          <w:i/>
          <w:sz w:val="20"/>
        </w:rPr>
        <w:t xml:space="preserve">“Percorsi di </w:t>
      </w:r>
      <w:proofErr w:type="spellStart"/>
      <w:r w:rsidRPr="00E82D28">
        <w:rPr>
          <w:i/>
          <w:sz w:val="20"/>
        </w:rPr>
        <w:t>Transitional</w:t>
      </w:r>
      <w:proofErr w:type="spellEnd"/>
      <w:r w:rsidRPr="00E82D28">
        <w:rPr>
          <w:i/>
          <w:sz w:val="20"/>
        </w:rPr>
        <w:t xml:space="preserve"> Care per le patologie rare e/o complesse: come sviluppare un percorso personalizzato con il coinvolgimento della sanità territoriale” AOU Città della Salute e della Scienza di Torino</w:t>
      </w:r>
    </w:p>
    <w:p w14:paraId="166982F9" w14:textId="71C901F4" w:rsidR="00E82D28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</w:pPr>
      <w:r w:rsidRPr="00E82D28">
        <w:rPr>
          <w:i/>
          <w:sz w:val="20"/>
        </w:rPr>
        <w:t>“Proposte per il benessere degli operatori sanitari nei luoghi di cura” Gruppo di lavoro regionale PP3. Luoghi di cura che promuovono salute</w:t>
      </w:r>
    </w:p>
    <w:p w14:paraId="72FAE1B9" w14:textId="5159FD98" w:rsidR="009E06BB" w:rsidRPr="0049253F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</w:pPr>
      <w:r>
        <w:rPr>
          <w:i/>
          <w:sz w:val="20"/>
        </w:rPr>
        <w:t>“Promozione della Salute e Case della Comunità” ASL TO3</w:t>
      </w:r>
    </w:p>
    <w:p w14:paraId="1DE5F93E" w14:textId="549644C4" w:rsidR="00E82D28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</w:pPr>
      <w:r w:rsidRPr="00E82D28">
        <w:rPr>
          <w:i/>
          <w:sz w:val="20"/>
        </w:rPr>
        <w:t>“Salute e Prevenzione per dipendenti e cittadini” AOU San Luigi</w:t>
      </w:r>
    </w:p>
    <w:p w14:paraId="5F08B369" w14:textId="54696C66" w:rsidR="009E06BB" w:rsidRDefault="00C50EE1" w:rsidP="004C0AD4">
      <w:pPr>
        <w:numPr>
          <w:ilvl w:val="0"/>
          <w:numId w:val="2"/>
        </w:numPr>
        <w:spacing w:before="60" w:after="0" w:line="288" w:lineRule="auto"/>
        <w:ind w:left="567" w:right="34" w:hanging="567"/>
      </w:pPr>
      <w:r>
        <w:rPr>
          <w:i/>
          <w:sz w:val="20"/>
        </w:rPr>
        <w:t>“Vademecum per i malati cronici” Regione Piemonte/Cittadinanzattiva</w:t>
      </w:r>
    </w:p>
    <w:p w14:paraId="4A57D997" w14:textId="37B6DC00" w:rsidR="009E06BB" w:rsidRPr="005656FF" w:rsidRDefault="009B1DAD" w:rsidP="004C0AD4">
      <w:pPr>
        <w:tabs>
          <w:tab w:val="left" w:pos="1701"/>
          <w:tab w:val="left" w:pos="3969"/>
          <w:tab w:val="left" w:pos="5103"/>
        </w:tabs>
        <w:spacing w:before="180" w:after="0" w:line="288" w:lineRule="auto"/>
        <w:ind w:left="0" w:right="0" w:firstLine="0"/>
        <w:jc w:val="left"/>
      </w:pPr>
      <w:proofErr w:type="gramStart"/>
      <w:r>
        <w:t xml:space="preserve">17:30  </w:t>
      </w:r>
      <w:r w:rsidR="0049253F" w:rsidRPr="00B443C7">
        <w:rPr>
          <w:b/>
          <w:bCs/>
        </w:rPr>
        <w:t>Conclusioni</w:t>
      </w:r>
      <w:proofErr w:type="gramEnd"/>
      <w:r w:rsidR="0049253F">
        <w:tab/>
      </w:r>
      <w:r w:rsidR="0049253F" w:rsidRPr="00B443C7">
        <w:rPr>
          <w:i/>
          <w:iCs/>
          <w:sz w:val="20"/>
          <w:szCs w:val="20"/>
        </w:rPr>
        <w:t>Franco Ripa (vicedirettore Assessorato alla Sanità</w:t>
      </w:r>
      <w:r w:rsidR="00300123" w:rsidRPr="00B443C7">
        <w:rPr>
          <w:i/>
          <w:iCs/>
          <w:sz w:val="20"/>
          <w:szCs w:val="20"/>
        </w:rPr>
        <w:t>)</w:t>
      </w:r>
    </w:p>
    <w:sectPr w:rsidR="009E06BB" w:rsidRPr="005656FF" w:rsidSect="00293E30">
      <w:headerReference w:type="even" r:id="rId7"/>
      <w:headerReference w:type="default" r:id="rId8"/>
      <w:headerReference w:type="first" r:id="rId9"/>
      <w:pgSz w:w="11906" w:h="16838" w:code="9"/>
      <w:pgMar w:top="2268" w:right="1134" w:bottom="1134" w:left="1134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46AD" w14:textId="77777777" w:rsidR="00BE275F" w:rsidRDefault="00BE275F">
      <w:pPr>
        <w:spacing w:after="0" w:line="240" w:lineRule="auto"/>
      </w:pPr>
      <w:r>
        <w:separator/>
      </w:r>
    </w:p>
  </w:endnote>
  <w:endnote w:type="continuationSeparator" w:id="0">
    <w:p w14:paraId="50B0159C" w14:textId="77777777" w:rsidR="00BE275F" w:rsidRDefault="00BE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43B1" w14:textId="77777777" w:rsidR="00BE275F" w:rsidRDefault="00BE275F">
      <w:pPr>
        <w:spacing w:after="0" w:line="240" w:lineRule="auto"/>
      </w:pPr>
      <w:r>
        <w:separator/>
      </w:r>
    </w:p>
  </w:footnote>
  <w:footnote w:type="continuationSeparator" w:id="0">
    <w:p w14:paraId="6716747B" w14:textId="77777777" w:rsidR="00BE275F" w:rsidRDefault="00BE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997C" w14:textId="77777777" w:rsidR="009E06BB" w:rsidRDefault="00C50EE1">
    <w:pPr>
      <w:spacing w:after="0" w:line="259" w:lineRule="auto"/>
      <w:ind w:left="0" w:right="758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29A0A94" wp14:editId="0A949D18">
          <wp:simplePos x="0" y="0"/>
          <wp:positionH relativeFrom="page">
            <wp:posOffset>4468368</wp:posOffset>
          </wp:positionH>
          <wp:positionV relativeFrom="page">
            <wp:posOffset>216408</wp:posOffset>
          </wp:positionV>
          <wp:extent cx="2363724" cy="740664"/>
          <wp:effectExtent l="0" t="0" r="0" b="0"/>
          <wp:wrapSquare wrapText="bothSides"/>
          <wp:docPr id="2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3724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25B6695" wp14:editId="077B12D6">
          <wp:simplePos x="0" y="0"/>
          <wp:positionH relativeFrom="page">
            <wp:posOffset>1167384</wp:posOffset>
          </wp:positionH>
          <wp:positionV relativeFrom="page">
            <wp:posOffset>195072</wp:posOffset>
          </wp:positionV>
          <wp:extent cx="890016" cy="766572"/>
          <wp:effectExtent l="0" t="0" r="0" b="0"/>
          <wp:wrapSquare wrapText="bothSides"/>
          <wp:docPr id="21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0016" cy="766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E7A4" w14:textId="05678082" w:rsidR="00C51559" w:rsidRDefault="00293E30" w:rsidP="00293E30">
    <w:pPr>
      <w:tabs>
        <w:tab w:val="right" w:pos="9639"/>
      </w:tabs>
      <w:spacing w:after="0" w:line="259" w:lineRule="auto"/>
      <w:ind w:left="0" w:right="-1" w:firstLine="0"/>
      <w:jc w:val="left"/>
    </w:pPr>
    <w:r>
      <w:rPr>
        <w:noProof/>
      </w:rPr>
      <w:drawing>
        <wp:inline distT="0" distB="0" distL="0" distR="0" wp14:anchorId="531F7A71" wp14:editId="79A91857">
          <wp:extent cx="890016" cy="766572"/>
          <wp:effectExtent l="0" t="0" r="5715" b="0"/>
          <wp:docPr id="21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16" cy="76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78E51C5" wp14:editId="4EB9FE9C">
          <wp:extent cx="2363724" cy="740664"/>
          <wp:effectExtent l="0" t="0" r="0" b="2540"/>
          <wp:docPr id="21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72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D8C4" w14:textId="77777777" w:rsidR="009E06BB" w:rsidRDefault="00C50EE1">
    <w:pPr>
      <w:spacing w:after="0" w:line="259" w:lineRule="auto"/>
      <w:ind w:left="0" w:right="7582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3A3FF5B" wp14:editId="758838FF">
          <wp:simplePos x="0" y="0"/>
          <wp:positionH relativeFrom="page">
            <wp:posOffset>4468368</wp:posOffset>
          </wp:positionH>
          <wp:positionV relativeFrom="page">
            <wp:posOffset>216408</wp:posOffset>
          </wp:positionV>
          <wp:extent cx="2363724" cy="740664"/>
          <wp:effectExtent l="0" t="0" r="0" b="0"/>
          <wp:wrapSquare wrapText="bothSides"/>
          <wp:docPr id="21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3724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5FF810E" wp14:editId="3606B7A6">
          <wp:simplePos x="0" y="0"/>
          <wp:positionH relativeFrom="page">
            <wp:posOffset>1167384</wp:posOffset>
          </wp:positionH>
          <wp:positionV relativeFrom="page">
            <wp:posOffset>195072</wp:posOffset>
          </wp:positionV>
          <wp:extent cx="890016" cy="766572"/>
          <wp:effectExtent l="0" t="0" r="0" b="0"/>
          <wp:wrapSquare wrapText="bothSides"/>
          <wp:docPr id="21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0016" cy="766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BE6"/>
    <w:multiLevelType w:val="hybridMultilevel"/>
    <w:tmpl w:val="5F0EFD56"/>
    <w:lvl w:ilvl="0" w:tplc="0410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 w15:restartNumberingAfterBreak="0">
    <w:nsid w:val="1FE54E29"/>
    <w:multiLevelType w:val="hybridMultilevel"/>
    <w:tmpl w:val="702CD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6B90"/>
    <w:multiLevelType w:val="hybridMultilevel"/>
    <w:tmpl w:val="9DF2CC42"/>
    <w:lvl w:ilvl="0" w:tplc="9FC280E8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40298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CF40A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76A820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6C7376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C3498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12829E">
      <w:start w:val="1"/>
      <w:numFmt w:val="bullet"/>
      <w:lvlText w:val="•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86132">
      <w:start w:val="1"/>
      <w:numFmt w:val="bullet"/>
      <w:lvlText w:val="o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4AB9A8">
      <w:start w:val="1"/>
      <w:numFmt w:val="bullet"/>
      <w:lvlText w:val="▪"/>
      <w:lvlJc w:val="left"/>
      <w:pPr>
        <w:ind w:left="7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924A8C"/>
    <w:multiLevelType w:val="hybridMultilevel"/>
    <w:tmpl w:val="8376B6D8"/>
    <w:lvl w:ilvl="0" w:tplc="40209778">
      <w:numFmt w:val="bullet"/>
      <w:lvlText w:val="-"/>
      <w:lvlJc w:val="left"/>
      <w:pPr>
        <w:ind w:left="1478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" w15:restartNumberingAfterBreak="0">
    <w:nsid w:val="5C0C069B"/>
    <w:multiLevelType w:val="hybridMultilevel"/>
    <w:tmpl w:val="DC461E80"/>
    <w:lvl w:ilvl="0" w:tplc="5E2667D4">
      <w:start w:val="1"/>
      <w:numFmt w:val="decimal"/>
      <w:lvlText w:val="%1."/>
      <w:lvlJc w:val="left"/>
      <w:pPr>
        <w:ind w:left="18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0898A">
      <w:start w:val="1"/>
      <w:numFmt w:val="lowerLetter"/>
      <w:lvlText w:val="%2"/>
      <w:lvlJc w:val="left"/>
      <w:pPr>
        <w:ind w:left="25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C6F5E">
      <w:start w:val="1"/>
      <w:numFmt w:val="lowerRoman"/>
      <w:lvlText w:val="%3"/>
      <w:lvlJc w:val="left"/>
      <w:pPr>
        <w:ind w:left="32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4D3E2">
      <w:start w:val="1"/>
      <w:numFmt w:val="decimal"/>
      <w:lvlText w:val="%4"/>
      <w:lvlJc w:val="left"/>
      <w:pPr>
        <w:ind w:left="40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AD916">
      <w:start w:val="1"/>
      <w:numFmt w:val="lowerLetter"/>
      <w:lvlText w:val="%5"/>
      <w:lvlJc w:val="left"/>
      <w:pPr>
        <w:ind w:left="47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25510">
      <w:start w:val="1"/>
      <w:numFmt w:val="lowerRoman"/>
      <w:lvlText w:val="%6"/>
      <w:lvlJc w:val="left"/>
      <w:pPr>
        <w:ind w:left="54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98511C">
      <w:start w:val="1"/>
      <w:numFmt w:val="decimal"/>
      <w:lvlText w:val="%7"/>
      <w:lvlJc w:val="left"/>
      <w:pPr>
        <w:ind w:left="61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483A4">
      <w:start w:val="1"/>
      <w:numFmt w:val="lowerLetter"/>
      <w:lvlText w:val="%8"/>
      <w:lvlJc w:val="left"/>
      <w:pPr>
        <w:ind w:left="68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E073E">
      <w:start w:val="1"/>
      <w:numFmt w:val="lowerRoman"/>
      <w:lvlText w:val="%9"/>
      <w:lvlJc w:val="left"/>
      <w:pPr>
        <w:ind w:left="76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7D3FC3"/>
    <w:multiLevelType w:val="hybridMultilevel"/>
    <w:tmpl w:val="96F24C00"/>
    <w:lvl w:ilvl="0" w:tplc="5E2667D4">
      <w:start w:val="1"/>
      <w:numFmt w:val="decimal"/>
      <w:lvlText w:val="%1."/>
      <w:lvlJc w:val="left"/>
      <w:pPr>
        <w:ind w:left="18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0898A">
      <w:start w:val="1"/>
      <w:numFmt w:val="lowerLetter"/>
      <w:lvlText w:val="%2"/>
      <w:lvlJc w:val="left"/>
      <w:pPr>
        <w:ind w:left="25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C6F5E">
      <w:start w:val="1"/>
      <w:numFmt w:val="lowerRoman"/>
      <w:lvlText w:val="%3"/>
      <w:lvlJc w:val="left"/>
      <w:pPr>
        <w:ind w:left="32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4D3E2">
      <w:start w:val="1"/>
      <w:numFmt w:val="decimal"/>
      <w:lvlText w:val="%4"/>
      <w:lvlJc w:val="left"/>
      <w:pPr>
        <w:ind w:left="40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AD916">
      <w:start w:val="1"/>
      <w:numFmt w:val="lowerLetter"/>
      <w:lvlText w:val="%5"/>
      <w:lvlJc w:val="left"/>
      <w:pPr>
        <w:ind w:left="47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25510">
      <w:start w:val="1"/>
      <w:numFmt w:val="lowerRoman"/>
      <w:lvlText w:val="%6"/>
      <w:lvlJc w:val="left"/>
      <w:pPr>
        <w:ind w:left="54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98511C">
      <w:start w:val="1"/>
      <w:numFmt w:val="decimal"/>
      <w:lvlText w:val="%7"/>
      <w:lvlJc w:val="left"/>
      <w:pPr>
        <w:ind w:left="61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483A4">
      <w:start w:val="1"/>
      <w:numFmt w:val="lowerLetter"/>
      <w:lvlText w:val="%8"/>
      <w:lvlJc w:val="left"/>
      <w:pPr>
        <w:ind w:left="68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E073E">
      <w:start w:val="1"/>
      <w:numFmt w:val="lowerRoman"/>
      <w:lvlText w:val="%9"/>
      <w:lvlJc w:val="left"/>
      <w:pPr>
        <w:ind w:left="76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2B39AB"/>
    <w:multiLevelType w:val="hybridMultilevel"/>
    <w:tmpl w:val="067C012E"/>
    <w:lvl w:ilvl="0" w:tplc="946C9E04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2919C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C350C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2D32E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4C36A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8F4DA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81382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25C72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20406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3238606">
    <w:abstractNumId w:val="5"/>
  </w:num>
  <w:num w:numId="2" w16cid:durableId="1909807056">
    <w:abstractNumId w:val="2"/>
  </w:num>
  <w:num w:numId="3" w16cid:durableId="109321534">
    <w:abstractNumId w:val="0"/>
  </w:num>
  <w:num w:numId="4" w16cid:durableId="983462287">
    <w:abstractNumId w:val="3"/>
  </w:num>
  <w:num w:numId="5" w16cid:durableId="312678644">
    <w:abstractNumId w:val="4"/>
  </w:num>
  <w:num w:numId="6" w16cid:durableId="1051080342">
    <w:abstractNumId w:val="6"/>
  </w:num>
  <w:num w:numId="7" w16cid:durableId="4340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BB"/>
    <w:rsid w:val="000032DE"/>
    <w:rsid w:val="00070882"/>
    <w:rsid w:val="000A2034"/>
    <w:rsid w:val="000F51CE"/>
    <w:rsid w:val="00147EAE"/>
    <w:rsid w:val="00291998"/>
    <w:rsid w:val="00293E30"/>
    <w:rsid w:val="00300123"/>
    <w:rsid w:val="003405B2"/>
    <w:rsid w:val="00422539"/>
    <w:rsid w:val="0042455F"/>
    <w:rsid w:val="0049253F"/>
    <w:rsid w:val="004B1BEB"/>
    <w:rsid w:val="004B420B"/>
    <w:rsid w:val="004C0AD4"/>
    <w:rsid w:val="004D4AB6"/>
    <w:rsid w:val="005117B9"/>
    <w:rsid w:val="00514596"/>
    <w:rsid w:val="005656FF"/>
    <w:rsid w:val="006605EB"/>
    <w:rsid w:val="0067259F"/>
    <w:rsid w:val="0072402B"/>
    <w:rsid w:val="00736D11"/>
    <w:rsid w:val="00766D5F"/>
    <w:rsid w:val="008217B9"/>
    <w:rsid w:val="00831182"/>
    <w:rsid w:val="008735CB"/>
    <w:rsid w:val="008E4AA1"/>
    <w:rsid w:val="00906B39"/>
    <w:rsid w:val="009B1DAD"/>
    <w:rsid w:val="009E06BB"/>
    <w:rsid w:val="00A2168F"/>
    <w:rsid w:val="00A319E0"/>
    <w:rsid w:val="00A4613F"/>
    <w:rsid w:val="00A52E7E"/>
    <w:rsid w:val="00A64ACB"/>
    <w:rsid w:val="00B01A9C"/>
    <w:rsid w:val="00B443C7"/>
    <w:rsid w:val="00BE275F"/>
    <w:rsid w:val="00C50EE1"/>
    <w:rsid w:val="00C51559"/>
    <w:rsid w:val="00C73DCE"/>
    <w:rsid w:val="00C9559D"/>
    <w:rsid w:val="00D42DC8"/>
    <w:rsid w:val="00E82D28"/>
    <w:rsid w:val="00EF0FEA"/>
    <w:rsid w:val="00F05070"/>
    <w:rsid w:val="00F346E5"/>
    <w:rsid w:val="00F60E37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4C261"/>
  <w15:docId w15:val="{0F14AF29-984F-44DE-8524-BCA826F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138" w:right="40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3"/>
      <w:ind w:left="1128" w:hanging="10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82D2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5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559"/>
    <w:rPr>
      <w:rFonts w:ascii="Century Gothic" w:eastAsia="Century Gothic" w:hAnsi="Century Gothic" w:cs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9C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giusi viola</cp:lastModifiedBy>
  <cp:revision>2</cp:revision>
  <cp:lastPrinted>2022-09-22T08:59:00Z</cp:lastPrinted>
  <dcterms:created xsi:type="dcterms:W3CDTF">2022-09-22T21:08:00Z</dcterms:created>
  <dcterms:modified xsi:type="dcterms:W3CDTF">2022-09-22T21:08:00Z</dcterms:modified>
</cp:coreProperties>
</file>